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tbl>
      <w:tblPr>
        <w:tblStyle w:val="Style_1"/>
        <w:tblInd w:type="dxa" w:w="-34"/>
        <w:tblBorders>
          <w:top w:color="000000" w:val="nil"/>
          <w:left w:color="000000" w:val="nil"/>
          <w:bottom w:color="000000" w:val="nil"/>
          <w:right w:color="000000" w:val="nil"/>
          <w:insideH w:color="000000" w:sz="4" w:val="single"/>
          <w:insideV w:color="000000" w:val="nil"/>
        </w:tblBorders>
      </w:tblPr>
      <w:tblGrid>
        <w:gridCol w:w="4337"/>
        <w:gridCol w:w="1134"/>
        <w:gridCol w:w="4503"/>
      </w:tblGrid>
      <w:tr>
        <w:trPr>
          <w:trHeight w:hRule="atLeast" w:val="1842"/>
        </w:trPr>
        <w:tc>
          <w:tcPr>
            <w:tcW w:type="dxa" w:w="4337"/>
            <w:tcBorders>
              <w:bottom w:color="000000" w:sz="4" w:val="single"/>
            </w:tcBorders>
            <w:shd w:fill="auto" w:val="clear"/>
            <w:vAlign w:val="center"/>
          </w:tcPr>
          <w:p w14:paraId="01000000">
            <w:pPr>
              <w:spacing w:line="300" w:lineRule="exact"/>
              <w:ind w:firstLine="0" w:left="57" w:right="57"/>
              <w:jc w:val="center"/>
              <w:rPr>
                <w:caps w:val="1"/>
                <w:sz w:val="28"/>
              </w:rPr>
            </w:pPr>
          </w:p>
          <w:p w14:paraId="02000000">
            <w:pPr>
              <w:spacing w:line="300" w:lineRule="exact"/>
              <w:ind w:firstLine="0" w:left="57" w:right="57"/>
              <w:jc w:val="center"/>
              <w:rPr>
                <w:caps w:val="1"/>
                <w:sz w:val="28"/>
              </w:rPr>
            </w:pPr>
          </w:p>
          <w:p w14:paraId="03000000">
            <w:pPr>
              <w:spacing w:line="300" w:lineRule="exact"/>
              <w:ind w:firstLine="0" w:left="57" w:right="57"/>
              <w:jc w:val="center"/>
              <w:rPr>
                <w:caps w:val="1"/>
                <w:sz w:val="28"/>
              </w:rPr>
            </w:pPr>
          </w:p>
          <w:p w14:paraId="04000000">
            <w:pPr>
              <w:spacing w:line="220" w:lineRule="exact"/>
              <w:ind w:firstLine="0" w:left="57" w:right="57"/>
              <w:jc w:val="center"/>
              <w:rPr>
                <w:sz w:val="16"/>
              </w:rPr>
            </w:pPr>
          </w:p>
          <w:p w14:paraId="05000000">
            <w:pPr>
              <w:spacing w:line="220" w:lineRule="exact"/>
              <w:ind w:firstLine="0" w:left="57" w:right="57"/>
              <w:jc w:val="center"/>
              <w:rPr>
                <w:sz w:val="20"/>
              </w:rPr>
            </w:pPr>
          </w:p>
          <w:p w14:paraId="06000000">
            <w:pPr>
              <w:spacing w:line="220" w:lineRule="exact"/>
              <w:ind w:firstLine="0" w:left="57" w:right="57"/>
              <w:jc w:val="center"/>
              <w:rPr>
                <w:caps w:val="1"/>
                <w:sz w:val="20"/>
              </w:rPr>
            </w:pPr>
          </w:p>
        </w:tc>
        <w:tc>
          <w:tcPr>
            <w:tcW w:type="dxa" w:w="1134"/>
            <w:tcBorders>
              <w:bottom w:color="000000" w:sz="4" w:val="single"/>
            </w:tcBorders>
            <w:shd w:fill="auto" w:val="clear"/>
            <w:vAlign w:val="center"/>
          </w:tcPr>
          <w:p w14:paraId="07000000">
            <w:pPr>
              <w:spacing w:line="240" w:lineRule="exact"/>
              <w:ind w:firstLine="0" w:left="57" w:right="57"/>
              <w:jc w:val="center"/>
            </w:pPr>
          </w:p>
        </w:tc>
        <w:tc>
          <w:tcPr>
            <w:tcW w:type="dxa" w:w="4503"/>
            <w:tcBorders>
              <w:bottom w:color="000000" w:sz="4" w:val="single"/>
            </w:tcBorders>
            <w:shd w:fill="auto" w:val="clear"/>
            <w:vAlign w:val="center"/>
          </w:tcPr>
          <w:p w14:paraId="08000000">
            <w:pPr>
              <w:spacing w:line="220" w:lineRule="exact"/>
              <w:ind w:firstLine="0" w:left="57" w:right="57"/>
              <w:jc w:val="center"/>
              <w:rPr>
                <w:caps w:val="1"/>
                <w:sz w:val="16"/>
              </w:rPr>
            </w:pPr>
          </w:p>
          <w:p w14:paraId="09000000">
            <w:pPr>
              <w:spacing w:line="220" w:lineRule="exact"/>
              <w:ind w:firstLine="0" w:left="57" w:right="57"/>
              <w:jc w:val="center"/>
              <w:rPr>
                <w:caps w:val="1"/>
                <w:sz w:val="16"/>
              </w:rPr>
            </w:pPr>
          </w:p>
          <w:p w14:paraId="0A000000">
            <w:pPr>
              <w:spacing w:line="220" w:lineRule="exact"/>
              <w:ind/>
              <w:rPr>
                <w:caps w:val="1"/>
                <w:sz w:val="20"/>
              </w:rPr>
            </w:pPr>
          </w:p>
        </w:tc>
      </w:tr>
      <w:tr>
        <w:trPr>
          <w:trHeight w:hRule="atLeast" w:val="993"/>
        </w:trPr>
        <w:tc>
          <w:tcPr>
            <w:tcW w:type="dxa" w:w="9974"/>
            <w:gridSpan w:val="3"/>
            <w:tcBorders>
              <w:top w:color="000000" w:sz="4" w:val="single"/>
              <w:left w:sz="4" w:val="nil"/>
              <w:bottom w:sz="4" w:val="nil"/>
              <w:right w:sz="4" w:val="nil"/>
            </w:tcBorders>
            <w:shd w:fill="auto" w:val="clear"/>
          </w:tcPr>
          <w:p w14:paraId="0B000000">
            <w:pPr>
              <w:spacing w:line="220" w:lineRule="exact"/>
              <w:ind w:right="5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         </w:t>
            </w:r>
            <w:r>
              <w:rPr>
                <w:b w:val="1"/>
                <w:sz w:val="28"/>
              </w:rPr>
              <w:t xml:space="preserve"> </w:t>
            </w:r>
          </w:p>
          <w:p w14:paraId="0C000000">
            <w:pPr>
              <w:spacing w:line="300" w:lineRule="exact"/>
              <w:ind w:right="5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     </w:t>
            </w:r>
            <w:r>
              <w:rPr>
                <w:b w:val="1"/>
                <w:sz w:val="28"/>
              </w:rPr>
              <w:t xml:space="preserve">               ПРИКАЗ     </w:t>
            </w:r>
            <w:r>
              <w:rPr>
                <w:b w:val="1"/>
                <w:sz w:val="28"/>
              </w:rPr>
              <w:t xml:space="preserve">         </w:t>
            </w:r>
            <w:r>
              <w:rPr>
                <w:b w:val="1"/>
                <w:sz w:val="28"/>
              </w:rPr>
              <w:t xml:space="preserve">                              </w:t>
            </w:r>
            <w:r>
              <w:rPr>
                <w:b w:val="1"/>
                <w:sz w:val="28"/>
              </w:rPr>
              <w:t xml:space="preserve">                      БОЕРЫК</w:t>
            </w:r>
          </w:p>
          <w:p w14:paraId="0D000000">
            <w:pPr>
              <w:spacing w:line="240" w:lineRule="exact"/>
              <w:ind w:right="57"/>
              <w:rPr>
                <w:sz w:val="28"/>
              </w:rPr>
            </w:pPr>
          </w:p>
          <w:p w14:paraId="0E000000">
            <w:pPr>
              <w:spacing w:line="300" w:lineRule="exact"/>
              <w:ind w:right="57"/>
              <w:rPr>
                <w:sz w:val="28"/>
              </w:rPr>
            </w:pPr>
            <w:r>
              <w:rPr>
                <w:sz w:val="28"/>
              </w:rPr>
              <w:t xml:space="preserve">            ________________                  </w:t>
            </w:r>
            <w:r>
              <w:t>г. Казань</w:t>
            </w:r>
            <w:r>
              <w:rPr>
                <w:sz w:val="22"/>
              </w:rPr>
              <w:t xml:space="preserve">                     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№</w:t>
            </w:r>
            <w:r>
              <w:rPr>
                <w:sz w:val="28"/>
              </w:rPr>
              <w:t xml:space="preserve"> ______________</w:t>
            </w:r>
          </w:p>
        </w:tc>
      </w:tr>
    </w:tbl>
    <w:p w14:paraId="0F000000">
      <w:r>
        <w:drawing>
          <wp:inline>
            <wp:extent cx="720090" cy="720090"/>
            <wp:docPr id="1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rId1" r:link=""/>
                    <a:stretch/>
                  </pic:blipFill>
                  <pic:spPr>
                    <a:xfrm rot="0">
                      <a:off x="0" y="0"/>
                      <a:ext cx="720090" cy="720090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>
            <wp:extent cx="2908935" cy="713105"/>
            <wp:docPr id="2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2908935" cy="713105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>
            <wp:extent cx="3016250" cy="664210"/>
            <wp:docPr id="3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3016250" cy="66421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Style_1"/>
      </w:tblPr>
      <w:tblGrid>
        <w:gridCol w:w="5353"/>
        <w:gridCol w:w="5121"/>
      </w:tblGrid>
      <w:tr>
        <w:tc>
          <w:tcPr>
            <w:tcW w:type="dxa" w:w="5353"/>
            <w:shd w:fill="auto" w:val="clear"/>
          </w:tcPr>
          <w:p w14:paraId="1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z w:val="28"/>
              </w:rPr>
              <w:t xml:space="preserve"> информировани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 xml:space="preserve"> участников образовательного процесса,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выпускников прошлых лет и общественности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на территории Республики Татар</w:t>
            </w:r>
            <w:r>
              <w:rPr>
                <w:sz w:val="28"/>
              </w:rPr>
              <w:t>стан в 202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/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3</w:t>
            </w:r>
            <w:r>
              <w:rPr>
                <w:sz w:val="28"/>
              </w:rPr>
              <w:t xml:space="preserve"> учебном году</w:t>
            </w:r>
          </w:p>
        </w:tc>
        <w:tc>
          <w:tcPr>
            <w:tcW w:type="dxa" w:w="5121"/>
            <w:shd w:fill="auto" w:val="clear"/>
          </w:tcPr>
          <w:p w14:paraId="11000000">
            <w:pPr>
              <w:rPr>
                <w:sz w:val="28"/>
              </w:rPr>
            </w:pPr>
          </w:p>
        </w:tc>
      </w:tr>
    </w:tbl>
    <w:p w14:paraId="12000000"/>
    <w:p w14:paraId="13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В соответствии с </w:t>
      </w:r>
      <w:r>
        <w:rPr>
          <w:sz w:val="28"/>
        </w:rPr>
        <w:t>приказ</w:t>
      </w:r>
      <w:r>
        <w:rPr>
          <w:sz w:val="28"/>
        </w:rPr>
        <w:t>ом</w:t>
      </w:r>
      <w:r>
        <w:rPr>
          <w:sz w:val="28"/>
        </w:rPr>
        <w:t xml:space="preserve"> Мин</w:t>
      </w:r>
      <w:r>
        <w:rPr>
          <w:sz w:val="28"/>
        </w:rPr>
        <w:t xml:space="preserve">истерства </w:t>
      </w:r>
      <w:r>
        <w:rPr>
          <w:sz w:val="28"/>
        </w:rPr>
        <w:t>просвещения Росси</w:t>
      </w:r>
      <w:r>
        <w:rPr>
          <w:sz w:val="28"/>
        </w:rPr>
        <w:t>йской Федерации</w:t>
      </w:r>
      <w:r>
        <w:rPr>
          <w:sz w:val="28"/>
        </w:rPr>
        <w:t xml:space="preserve"> и </w:t>
      </w:r>
      <w:r>
        <w:rPr>
          <w:sz w:val="28"/>
        </w:rPr>
        <w:t>Федеральной службы по надзору в сфере образования и науки</w:t>
      </w:r>
      <w:r>
        <w:rPr>
          <w:sz w:val="28"/>
        </w:rPr>
        <w:t xml:space="preserve"> от </w:t>
      </w:r>
      <w:r>
        <w:rPr>
          <w:sz w:val="28"/>
        </w:rPr>
        <w:t>0</w:t>
      </w:r>
      <w:r>
        <w:rPr>
          <w:sz w:val="28"/>
        </w:rPr>
        <w:t>7</w:t>
      </w:r>
      <w:r>
        <w:rPr>
          <w:sz w:val="28"/>
        </w:rPr>
        <w:t xml:space="preserve"> ноября </w:t>
      </w:r>
      <w:r>
        <w:rPr>
          <w:sz w:val="28"/>
        </w:rPr>
        <w:t xml:space="preserve">2018 </w:t>
      </w:r>
      <w:r>
        <w:rPr>
          <w:sz w:val="28"/>
        </w:rPr>
        <w:t xml:space="preserve">г. </w:t>
      </w:r>
      <w:r>
        <w:rPr>
          <w:sz w:val="28"/>
        </w:rPr>
        <w:t>№ </w:t>
      </w:r>
      <w:r>
        <w:rPr>
          <w:sz w:val="28"/>
        </w:rPr>
        <w:t>189/1513 «Об утверждении Порядка проведения государственной итоговой аттестации по образовательным программа</w:t>
      </w:r>
      <w:r>
        <w:rPr>
          <w:sz w:val="28"/>
        </w:rPr>
        <w:t xml:space="preserve">м основного общего образования», </w:t>
      </w:r>
      <w:r>
        <w:rPr>
          <w:sz w:val="28"/>
        </w:rPr>
        <w:t xml:space="preserve">приказом Министерства просвещения Российской Федерации и Федеральной службы по надзору в сфере образования и науки </w:t>
      </w:r>
      <w:r>
        <w:rPr>
          <w:sz w:val="28"/>
        </w:rPr>
        <w:t xml:space="preserve">от </w:t>
      </w:r>
      <w:r>
        <w:rPr>
          <w:sz w:val="28"/>
        </w:rPr>
        <w:t>0</w:t>
      </w:r>
      <w:r>
        <w:rPr>
          <w:sz w:val="28"/>
        </w:rPr>
        <w:t>7</w:t>
      </w:r>
      <w:r>
        <w:rPr>
          <w:sz w:val="28"/>
        </w:rPr>
        <w:t xml:space="preserve"> ноября </w:t>
      </w:r>
      <w:r>
        <w:rPr>
          <w:sz w:val="28"/>
        </w:rPr>
        <w:t>2018</w:t>
      </w:r>
      <w:r>
        <w:rPr>
          <w:sz w:val="28"/>
        </w:rPr>
        <w:t xml:space="preserve"> г.</w:t>
      </w:r>
      <w:r>
        <w:rPr>
          <w:sz w:val="28"/>
        </w:rPr>
        <w:t xml:space="preserve"> №</w:t>
      </w:r>
      <w:r>
        <w:t> </w:t>
      </w:r>
      <w:r>
        <w:rPr>
          <w:sz w:val="28"/>
        </w:rPr>
        <w:t>190/1512 «Об утверждении Порядка проведения государственной итоговой аттестации по образовательным программам среднего общего образования»</w:t>
      </w:r>
      <w:r>
        <w:rPr>
          <w:sz w:val="28"/>
        </w:rPr>
        <w:t>,</w:t>
      </w:r>
      <w:r>
        <w:rPr>
          <w:sz w:val="28"/>
        </w:rPr>
        <w:t xml:space="preserve"> с целью информирования обучающихся, их родителей (законных представителей), выпускников прошлых лет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>
        <w:rPr>
          <w:sz w:val="28"/>
        </w:rPr>
        <w:t xml:space="preserve"> </w:t>
      </w:r>
      <w:r>
        <w:rPr>
          <w:sz w:val="28"/>
        </w:rPr>
        <w:t xml:space="preserve"> п р и к а з ы в а ю</w:t>
      </w:r>
      <w:r>
        <w:rPr>
          <w:sz w:val="28"/>
        </w:rPr>
        <w:t>:</w:t>
      </w:r>
    </w:p>
    <w:p w14:paraId="14000000">
      <w:pPr>
        <w:ind w:firstLine="708" w:left="0"/>
        <w:jc w:val="both"/>
        <w:rPr>
          <w:sz w:val="28"/>
        </w:rPr>
      </w:pPr>
    </w:p>
    <w:p w14:paraId="15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z w:val="28"/>
        </w:rPr>
        <w:t>Утвердить:</w:t>
      </w:r>
    </w:p>
    <w:p w14:paraId="16000000">
      <w:pPr>
        <w:ind w:firstLine="708" w:left="0"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>писок номеров телефонов «горячей линии» на период подготовки и проведения государственной итоговой аттестации по образовательным программам основного общего и ср</w:t>
      </w:r>
      <w:r>
        <w:rPr>
          <w:sz w:val="28"/>
        </w:rPr>
        <w:t xml:space="preserve">еднего общего образования </w:t>
      </w:r>
      <w:r>
        <w:rPr>
          <w:sz w:val="28"/>
        </w:rPr>
        <w:t>(далее – ГИА)</w:t>
      </w:r>
      <w:r>
        <w:rPr>
          <w:sz w:val="28"/>
        </w:rPr>
        <w:t xml:space="preserve"> </w:t>
      </w:r>
      <w:r>
        <w:rPr>
          <w:sz w:val="28"/>
        </w:rPr>
        <w:t>в 202</w:t>
      </w:r>
      <w:r>
        <w:rPr>
          <w:sz w:val="28"/>
        </w:rPr>
        <w:t>2</w:t>
      </w:r>
      <w:r>
        <w:rPr>
          <w:sz w:val="28"/>
        </w:rPr>
        <w:t>/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>3</w:t>
      </w:r>
      <w:r>
        <w:rPr>
          <w:sz w:val="28"/>
        </w:rPr>
        <w:t xml:space="preserve"> учебном году:</w:t>
      </w:r>
    </w:p>
    <w:p w14:paraId="17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8(843) </w:t>
      </w:r>
      <w:r>
        <w:rPr>
          <w:sz w:val="28"/>
        </w:rPr>
        <w:t xml:space="preserve">294-95-06 - отдел общего образования и </w:t>
      </w:r>
      <w:r>
        <w:rPr>
          <w:sz w:val="28"/>
        </w:rPr>
        <w:t>итоговой аттестации обучающихся</w:t>
      </w:r>
      <w:r>
        <w:rPr>
          <w:sz w:val="28"/>
        </w:rPr>
        <w:t xml:space="preserve"> Министерства образования и науки Республики Татарстан; </w:t>
      </w:r>
    </w:p>
    <w:p w14:paraId="18000000">
      <w:pPr>
        <w:ind w:firstLine="708" w:left="0"/>
        <w:jc w:val="both"/>
        <w:rPr>
          <w:sz w:val="28"/>
        </w:rPr>
      </w:pPr>
      <w:r>
        <w:rPr>
          <w:sz w:val="28"/>
        </w:rPr>
        <w:t>8</w:t>
      </w:r>
      <w:r>
        <w:rPr>
          <w:sz w:val="28"/>
        </w:rPr>
        <w:t>(843) 237-74-84</w:t>
      </w:r>
      <w:r>
        <w:rPr>
          <w:sz w:val="28"/>
        </w:rPr>
        <w:t xml:space="preserve"> - Д</w:t>
      </w:r>
      <w:r>
        <w:rPr>
          <w:sz w:val="28"/>
        </w:rPr>
        <w:t>епартамент надзора и контроля в сфере образования Министерства образован</w:t>
      </w:r>
      <w:r>
        <w:rPr>
          <w:sz w:val="28"/>
        </w:rPr>
        <w:t>ия и науки Республики Татарстан.</w:t>
      </w:r>
    </w:p>
    <w:p w14:paraId="19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>Установить режим работы телефонов «го</w:t>
      </w:r>
      <w:r>
        <w:rPr>
          <w:sz w:val="28"/>
        </w:rPr>
        <w:t>рячей линии»                                               с 09.00 часов до 18</w:t>
      </w:r>
      <w:r>
        <w:rPr>
          <w:sz w:val="28"/>
        </w:rPr>
        <w:t>.00 часов (понедельник - пятница, за исключен</w:t>
      </w:r>
      <w:r>
        <w:rPr>
          <w:sz w:val="28"/>
        </w:rPr>
        <w:t>ием нерабочих праздничных дней).</w:t>
      </w:r>
    </w:p>
    <w:p w14:paraId="1A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sz w:val="28"/>
        </w:rPr>
        <w:t>Департаменту надзора и контроля в сфере образования Министерства образования и н</w:t>
      </w:r>
      <w:r>
        <w:rPr>
          <w:sz w:val="28"/>
        </w:rPr>
        <w:t>ауки Республики Татарстан (</w:t>
      </w:r>
      <w:r>
        <w:rPr>
          <w:sz w:val="28"/>
        </w:rPr>
        <w:t>Р.Г.Музипов</w:t>
      </w:r>
      <w:r>
        <w:rPr>
          <w:sz w:val="28"/>
        </w:rPr>
        <w:t xml:space="preserve">), </w:t>
      </w:r>
      <w:r>
        <w:rPr>
          <w:sz w:val="28"/>
        </w:rPr>
        <w:t>у</w:t>
      </w:r>
      <w:r>
        <w:rPr>
          <w:sz w:val="28"/>
        </w:rPr>
        <w:t xml:space="preserve">правлению общего образования Министерства образования и науки Республики Татарстан </w:t>
      </w:r>
      <w:r>
        <w:rPr>
          <w:sz w:val="28"/>
        </w:rPr>
        <w:t xml:space="preserve">  (</w:t>
      </w:r>
      <w:r>
        <w:rPr>
          <w:sz w:val="28"/>
        </w:rPr>
        <w:t>Т.Г.Алексеева</w:t>
      </w:r>
      <w:r>
        <w:rPr>
          <w:sz w:val="28"/>
        </w:rPr>
        <w:t>) обеспечить:</w:t>
      </w:r>
    </w:p>
    <w:p w14:paraId="1B000000">
      <w:pPr>
        <w:ind w:firstLine="708" w:left="0"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>рганизацию работы телефонов «горячей линии» на период подготовки и проведения государственной итоговой аттестации по образовательным программам основного общег</w:t>
      </w:r>
      <w:r>
        <w:rPr>
          <w:sz w:val="28"/>
        </w:rPr>
        <w:t>о и среднего общего образования</w:t>
      </w:r>
      <w:r>
        <w:rPr>
          <w:sz w:val="28"/>
        </w:rPr>
        <w:t>;</w:t>
      </w:r>
    </w:p>
    <w:p w14:paraId="1C000000">
      <w:pPr>
        <w:ind w:firstLine="708" w:left="0"/>
        <w:jc w:val="both"/>
        <w:rPr>
          <w:sz w:val="28"/>
        </w:rPr>
      </w:pPr>
      <w:r>
        <w:rPr>
          <w:sz w:val="28"/>
        </w:rPr>
        <w:t>и</w:t>
      </w:r>
      <w:r>
        <w:rPr>
          <w:sz w:val="28"/>
        </w:rPr>
        <w:t xml:space="preserve">сполнение </w:t>
      </w:r>
      <w:r>
        <w:rPr>
          <w:sz w:val="28"/>
        </w:rPr>
        <w:t>части 6 Дорожной карты организации проведения государственной итоговой аттестации по образовательным программам основного общего и среднего общего образования в Республике Татарстан в 202</w:t>
      </w:r>
      <w:r>
        <w:rPr>
          <w:sz w:val="28"/>
        </w:rPr>
        <w:t>3</w:t>
      </w:r>
      <w:r>
        <w:rPr>
          <w:sz w:val="28"/>
        </w:rPr>
        <w:t xml:space="preserve"> году «Обеспечение информационной и психологической поддержки ГИА и информирования участников образовательного процесса и общественности о порядке организации и проведения ГИА в 202</w:t>
      </w:r>
      <w:r>
        <w:rPr>
          <w:sz w:val="28"/>
        </w:rPr>
        <w:t>3</w:t>
      </w:r>
      <w:r>
        <w:rPr>
          <w:sz w:val="28"/>
        </w:rPr>
        <w:t xml:space="preserve"> году</w:t>
      </w:r>
      <w:r>
        <w:rPr>
          <w:sz w:val="28"/>
        </w:rPr>
        <w:t xml:space="preserve">», утвержденной приказом Министерства образования и науки Республики Татарстан от </w:t>
      </w:r>
      <w:r>
        <w:rPr>
          <w:sz w:val="28"/>
        </w:rPr>
        <w:t>15.09</w:t>
      </w:r>
      <w:r>
        <w:rPr>
          <w:sz w:val="28"/>
        </w:rPr>
        <w:t>.202</w:t>
      </w:r>
      <w:r>
        <w:rPr>
          <w:sz w:val="28"/>
        </w:rPr>
        <w:t>2</w:t>
      </w:r>
      <w:r>
        <w:rPr>
          <w:sz w:val="28"/>
        </w:rPr>
        <w:t xml:space="preserve"> </w:t>
      </w:r>
      <w:r>
        <w:rPr>
          <w:sz w:val="28"/>
        </w:rPr>
        <w:t xml:space="preserve">          </w:t>
      </w:r>
      <w:r>
        <w:rPr>
          <w:sz w:val="28"/>
        </w:rPr>
        <w:t>№</w:t>
      </w:r>
      <w:r>
        <w:rPr>
          <w:sz w:val="28"/>
        </w:rPr>
        <w:t> </w:t>
      </w:r>
      <w:r>
        <w:rPr>
          <w:sz w:val="28"/>
        </w:rPr>
        <w:t>под-</w:t>
      </w:r>
      <w:r>
        <w:rPr>
          <w:sz w:val="28"/>
        </w:rPr>
        <w:t> </w:t>
      </w:r>
      <w:r>
        <w:rPr>
          <w:sz w:val="28"/>
        </w:rPr>
        <w:t>1541/22</w:t>
      </w:r>
      <w:r>
        <w:rPr>
          <w:sz w:val="28"/>
        </w:rPr>
        <w:t xml:space="preserve"> «Об утверждении «дорожной карты» организации проведения государственной итоговой аттестации выпускников 9 и 11 (12) классов в 202</w:t>
      </w:r>
      <w:r>
        <w:rPr>
          <w:sz w:val="28"/>
        </w:rPr>
        <w:t>3</w:t>
      </w:r>
      <w:r>
        <w:rPr>
          <w:sz w:val="28"/>
        </w:rPr>
        <w:t xml:space="preserve"> году»</w:t>
      </w:r>
      <w:r>
        <w:rPr>
          <w:sz w:val="28"/>
        </w:rPr>
        <w:t>;</w:t>
      </w:r>
      <w:r>
        <w:rPr>
          <w:sz w:val="28"/>
        </w:rPr>
        <w:t xml:space="preserve"> </w:t>
      </w:r>
    </w:p>
    <w:p w14:paraId="1D000000">
      <w:pPr>
        <w:ind w:firstLine="708" w:left="0"/>
        <w:jc w:val="both"/>
        <w:rPr>
          <w:sz w:val="28"/>
        </w:rPr>
      </w:pPr>
      <w:r>
        <w:rPr>
          <w:sz w:val="28"/>
        </w:rPr>
        <w:t>пр</w:t>
      </w:r>
      <w:r>
        <w:rPr>
          <w:sz w:val="28"/>
        </w:rPr>
        <w:t xml:space="preserve">едоставление актуальной информации в отдел </w:t>
      </w:r>
      <w:r>
        <w:rPr>
          <w:sz w:val="28"/>
        </w:rPr>
        <w:t>развития информационных</w:t>
      </w:r>
      <w:r>
        <w:rPr>
          <w:sz w:val="28"/>
        </w:rPr>
        <w:t xml:space="preserve"> технологий и безопасности</w:t>
      </w:r>
      <w:r>
        <w:rPr>
          <w:sz w:val="28"/>
        </w:rPr>
        <w:t xml:space="preserve"> для размещения на официальном сайте Министерства образования и науки Республики Татарстан в разделе «</w:t>
      </w:r>
      <w:r>
        <w:rPr>
          <w:sz w:val="28"/>
        </w:rPr>
        <w:t>Общее образование. ЕГЭ и ОГЭ</w:t>
      </w:r>
      <w:r>
        <w:rPr>
          <w:sz w:val="28"/>
        </w:rPr>
        <w:t xml:space="preserve">», </w:t>
      </w:r>
      <w:r>
        <w:rPr>
          <w:sz w:val="28"/>
        </w:rPr>
        <w:t>по</w:t>
      </w:r>
      <w:r>
        <w:rPr>
          <w:sz w:val="28"/>
        </w:rPr>
        <w:t xml:space="preserve">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на </w:t>
      </w:r>
      <w:r>
        <w:rPr>
          <w:sz w:val="28"/>
        </w:rPr>
        <w:t>территории Республики Татарстан</w:t>
      </w:r>
      <w:r>
        <w:rPr>
          <w:sz w:val="28"/>
        </w:rPr>
        <w:t>;</w:t>
      </w:r>
    </w:p>
    <w:p w14:paraId="1E000000">
      <w:pPr>
        <w:ind w:firstLine="708" w:left="0"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>рганизацию встре</w:t>
      </w:r>
      <w:r>
        <w:rPr>
          <w:sz w:val="28"/>
        </w:rPr>
        <w:t xml:space="preserve">ч должностных лиц Министерства </w:t>
      </w:r>
      <w:r>
        <w:rPr>
          <w:sz w:val="28"/>
        </w:rPr>
        <w:t>образования и науки Республики Татарстан (родительских собраний) с участниками образовательного процесса, выпускниками прошлых лет по вопросам организации и проведения государственной итоговой аттестации по образовательным программам основного общего и средн</w:t>
      </w:r>
      <w:r>
        <w:rPr>
          <w:sz w:val="28"/>
        </w:rPr>
        <w:t>его общего образования в 202</w:t>
      </w:r>
      <w:r>
        <w:rPr>
          <w:sz w:val="28"/>
        </w:rPr>
        <w:t>2</w:t>
      </w:r>
      <w:r>
        <w:rPr>
          <w:sz w:val="28"/>
        </w:rPr>
        <w:t>/</w:t>
      </w:r>
      <w:r>
        <w:rPr>
          <w:sz w:val="28"/>
        </w:rPr>
        <w:t>202</w:t>
      </w:r>
      <w:r>
        <w:rPr>
          <w:sz w:val="28"/>
        </w:rPr>
        <w:t>3</w:t>
      </w:r>
      <w:r>
        <w:rPr>
          <w:sz w:val="28"/>
        </w:rPr>
        <w:t xml:space="preserve"> учебном году</w:t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1F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>Государственному бюджетному учреждению «Республиканский центр мо</w:t>
      </w:r>
      <w:r>
        <w:rPr>
          <w:sz w:val="28"/>
        </w:rPr>
        <w:t>ниторинга качества образования»</w:t>
      </w:r>
      <w:r>
        <w:rPr>
          <w:sz w:val="28"/>
        </w:rPr>
        <w:t xml:space="preserve"> (далее - ГБУ «РЦМКО</w:t>
      </w:r>
      <w:r>
        <w:rPr>
          <w:sz w:val="28"/>
        </w:rPr>
        <w:t>») (</w:t>
      </w:r>
      <w:r>
        <w:rPr>
          <w:sz w:val="28"/>
        </w:rPr>
        <w:t>Б.М.Юнусов</w:t>
      </w:r>
      <w:r>
        <w:rPr>
          <w:sz w:val="28"/>
        </w:rPr>
        <w:t>)</w:t>
      </w:r>
      <w:r>
        <w:rPr>
          <w:sz w:val="28"/>
        </w:rPr>
        <w:t xml:space="preserve"> обеспечить:</w:t>
      </w:r>
    </w:p>
    <w:p w14:paraId="20000000">
      <w:pPr>
        <w:ind w:firstLine="708" w:left="0"/>
        <w:jc w:val="both"/>
        <w:rPr>
          <w:sz w:val="28"/>
        </w:rPr>
      </w:pPr>
      <w:r>
        <w:rPr>
          <w:sz w:val="28"/>
        </w:rPr>
        <w:t>в</w:t>
      </w:r>
      <w:r>
        <w:rPr>
          <w:sz w:val="28"/>
        </w:rPr>
        <w:t>едение на официальном сайте ГБУ «РЦМКО» раздела, посвященного организации и проведению государственной итоговой аттестации по образовательным программам основного общего и среднего общего образования на территории Республики Татар</w:t>
      </w:r>
      <w:r>
        <w:rPr>
          <w:sz w:val="28"/>
        </w:rPr>
        <w:t>стан в 202</w:t>
      </w:r>
      <w:r>
        <w:rPr>
          <w:sz w:val="28"/>
        </w:rPr>
        <w:t>2</w:t>
      </w:r>
      <w:r>
        <w:rPr>
          <w:sz w:val="28"/>
        </w:rPr>
        <w:t>/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>3</w:t>
      </w:r>
      <w:r>
        <w:rPr>
          <w:sz w:val="28"/>
        </w:rPr>
        <w:t xml:space="preserve"> учебном году</w:t>
      </w:r>
      <w:r>
        <w:rPr>
          <w:sz w:val="28"/>
        </w:rPr>
        <w:t>;</w:t>
      </w:r>
    </w:p>
    <w:p w14:paraId="21000000">
      <w:pPr>
        <w:ind w:firstLine="708" w:left="0"/>
        <w:jc w:val="both"/>
        <w:rPr>
          <w:sz w:val="28"/>
        </w:rPr>
      </w:pPr>
      <w:r>
        <w:rPr>
          <w:sz w:val="28"/>
        </w:rPr>
        <w:t>у</w:t>
      </w:r>
      <w:r>
        <w:rPr>
          <w:sz w:val="28"/>
        </w:rPr>
        <w:t>частие сотрудников ГБУ «РЦМКО» во встреча</w:t>
      </w:r>
      <w:r>
        <w:rPr>
          <w:sz w:val="28"/>
        </w:rPr>
        <w:t xml:space="preserve">х должностных лиц Министерства </w:t>
      </w:r>
      <w:r>
        <w:rPr>
          <w:sz w:val="28"/>
        </w:rPr>
        <w:t>образования и науки Республики Татарстан (родительских собраний) по вопросам организации и проведения государственной итоговой аттестации по образовательным программам основного общего и среднего общего образов</w:t>
      </w:r>
      <w:r>
        <w:rPr>
          <w:sz w:val="28"/>
        </w:rPr>
        <w:t>ания в 202</w:t>
      </w:r>
      <w:r>
        <w:rPr>
          <w:sz w:val="28"/>
        </w:rPr>
        <w:t>2</w:t>
      </w:r>
      <w:r>
        <w:rPr>
          <w:sz w:val="28"/>
        </w:rPr>
        <w:t>/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>3</w:t>
      </w:r>
      <w:r>
        <w:rPr>
          <w:sz w:val="28"/>
        </w:rPr>
        <w:t xml:space="preserve"> учебном году.</w:t>
      </w:r>
    </w:p>
    <w:p w14:paraId="22000000">
      <w:pPr>
        <w:ind w:firstLine="708" w:left="0"/>
        <w:jc w:val="both"/>
        <w:rPr>
          <w:sz w:val="28"/>
        </w:rPr>
      </w:pPr>
      <w:r>
        <w:rPr>
          <w:sz w:val="28"/>
        </w:rPr>
        <w:t>5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Рекомендовать муниципальны</w:t>
      </w:r>
      <w:r>
        <w:rPr>
          <w:sz w:val="28"/>
        </w:rPr>
        <w:t>м</w:t>
      </w:r>
      <w:r>
        <w:rPr>
          <w:sz w:val="28"/>
        </w:rPr>
        <w:t xml:space="preserve"> </w:t>
      </w:r>
      <w:r>
        <w:rPr>
          <w:sz w:val="28"/>
        </w:rPr>
        <w:t>орган</w:t>
      </w:r>
      <w:r>
        <w:rPr>
          <w:sz w:val="28"/>
        </w:rPr>
        <w:t>ам</w:t>
      </w:r>
      <w:r>
        <w:rPr>
          <w:sz w:val="28"/>
        </w:rPr>
        <w:t xml:space="preserve"> управления образованием</w:t>
      </w:r>
      <w:r>
        <w:rPr>
          <w:sz w:val="28"/>
        </w:rPr>
        <w:t xml:space="preserve"> </w:t>
      </w:r>
      <w:r>
        <w:rPr>
          <w:sz w:val="28"/>
        </w:rPr>
        <w:t xml:space="preserve">исполнительных комитетов </w:t>
      </w:r>
      <w:r>
        <w:rPr>
          <w:sz w:val="28"/>
        </w:rPr>
        <w:t xml:space="preserve">Республики Татарстан, руководителям государственных </w:t>
      </w:r>
      <w:r>
        <w:rPr>
          <w:sz w:val="28"/>
        </w:rPr>
        <w:t>профессиональн</w:t>
      </w:r>
      <w:r>
        <w:rPr>
          <w:sz w:val="28"/>
        </w:rPr>
        <w:t>ых</w:t>
      </w:r>
      <w:r>
        <w:rPr>
          <w:sz w:val="28"/>
        </w:rPr>
        <w:t xml:space="preserve"> образовательн</w:t>
      </w:r>
      <w:r>
        <w:rPr>
          <w:sz w:val="28"/>
        </w:rPr>
        <w:t>ых</w:t>
      </w:r>
      <w:r>
        <w:rPr>
          <w:sz w:val="28"/>
        </w:rPr>
        <w:t xml:space="preserve"> организаций, находящихся в ведении органов исполнительной власти Республики Татарстан:</w:t>
      </w:r>
    </w:p>
    <w:p w14:paraId="23000000">
      <w:pPr>
        <w:ind w:firstLine="708" w:left="0"/>
        <w:jc w:val="both"/>
        <w:rPr>
          <w:sz w:val="28"/>
        </w:rPr>
      </w:pPr>
      <w:r>
        <w:rPr>
          <w:sz w:val="28"/>
        </w:rPr>
        <w:t>д</w:t>
      </w:r>
      <w:r>
        <w:rPr>
          <w:sz w:val="28"/>
        </w:rPr>
        <w:t>овести до сведения участников образовательного проце</w:t>
      </w:r>
      <w:r>
        <w:rPr>
          <w:sz w:val="28"/>
        </w:rPr>
        <w:t>сса, в том числе выпускников 9, 11(12)</w:t>
      </w:r>
      <w:r>
        <w:rPr>
          <w:sz w:val="28"/>
        </w:rPr>
        <w:t xml:space="preserve"> классов общеобразовательных организаций, родителей (законных представителей), общественности информацию об организации работы «горячей лини</w:t>
      </w:r>
      <w:r>
        <w:rPr>
          <w:sz w:val="28"/>
        </w:rPr>
        <w:t>и» в Республике Татарстан;</w:t>
      </w:r>
    </w:p>
    <w:p w14:paraId="24000000">
      <w:pPr>
        <w:ind w:firstLine="708" w:left="0"/>
        <w:jc w:val="both"/>
        <w:rPr>
          <w:sz w:val="28"/>
        </w:rPr>
      </w:pPr>
      <w:r>
        <w:rPr>
          <w:sz w:val="28"/>
        </w:rPr>
        <w:t>р</w:t>
      </w:r>
      <w:r>
        <w:rPr>
          <w:sz w:val="28"/>
        </w:rPr>
        <w:t>азработать план мероприятий по информированию участников образовательного процесса, выпускников прошлых лет, общественности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образования, в том числе через средства массовой информац</w:t>
      </w:r>
      <w:r>
        <w:rPr>
          <w:sz w:val="28"/>
        </w:rPr>
        <w:t>ии, в 202</w:t>
      </w:r>
      <w:r>
        <w:rPr>
          <w:sz w:val="28"/>
        </w:rPr>
        <w:t>2</w:t>
      </w:r>
      <w:r>
        <w:rPr>
          <w:sz w:val="28"/>
        </w:rPr>
        <w:t>/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>3</w:t>
      </w:r>
      <w:r>
        <w:rPr>
          <w:sz w:val="28"/>
        </w:rPr>
        <w:t xml:space="preserve"> учебному году;</w:t>
      </w:r>
    </w:p>
    <w:p w14:paraId="25000000">
      <w:pPr>
        <w:ind w:firstLine="708" w:left="0"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>рганизовать работу:</w:t>
      </w:r>
    </w:p>
    <w:p w14:paraId="26000000">
      <w:pPr>
        <w:ind w:firstLine="708" w:left="0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о проведению встреч (родительских собраний) с участниками образовательного процесса, выпускниками прошлых лет по вопросам организации и проведения государственной итоговой аттестации по образовательным программам основного общего и среднего общего образов</w:t>
      </w:r>
      <w:r>
        <w:rPr>
          <w:sz w:val="28"/>
        </w:rPr>
        <w:t>ания в 202</w:t>
      </w:r>
      <w:r>
        <w:rPr>
          <w:sz w:val="28"/>
        </w:rPr>
        <w:t>2</w:t>
      </w:r>
      <w:r>
        <w:rPr>
          <w:sz w:val="28"/>
        </w:rPr>
        <w:t>/</w:t>
      </w:r>
      <w:r>
        <w:rPr>
          <w:sz w:val="28"/>
        </w:rPr>
        <w:t>202</w:t>
      </w:r>
      <w:r>
        <w:rPr>
          <w:sz w:val="28"/>
        </w:rPr>
        <w:t>3</w:t>
      </w:r>
      <w:r>
        <w:rPr>
          <w:sz w:val="28"/>
        </w:rPr>
        <w:t xml:space="preserve"> учебном году</w:t>
      </w:r>
      <w:r>
        <w:rPr>
          <w:sz w:val="28"/>
        </w:rPr>
        <w:t>;</w:t>
      </w:r>
    </w:p>
    <w:p w14:paraId="27000000">
      <w:pPr>
        <w:ind w:firstLine="708" w:left="0"/>
        <w:jc w:val="both"/>
        <w:rPr>
          <w:sz w:val="28"/>
        </w:rPr>
      </w:pPr>
      <w:r>
        <w:rPr>
          <w:sz w:val="28"/>
        </w:rPr>
        <w:t>т</w:t>
      </w:r>
      <w:r>
        <w:rPr>
          <w:sz w:val="28"/>
        </w:rPr>
        <w:t>елефонов муниципальн</w:t>
      </w:r>
      <w:r>
        <w:rPr>
          <w:sz w:val="28"/>
        </w:rPr>
        <w:t>о</w:t>
      </w:r>
      <w:r>
        <w:rPr>
          <w:sz w:val="28"/>
        </w:rPr>
        <w:t>й «горячей линии» по вопросам организации и проведения государственной итоговой аттестации по образовательным программам основного общег</w:t>
      </w:r>
      <w:r>
        <w:rPr>
          <w:sz w:val="28"/>
        </w:rPr>
        <w:t>о и среднего общего образования;</w:t>
      </w:r>
    </w:p>
    <w:p w14:paraId="28000000">
      <w:pPr>
        <w:ind w:firstLine="708" w:left="0"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>фициальных сайтов органов местного самоуправления муниципальных образований Республики Татарстан, осуществляющих управление в сфере образования, общеобразовательных организаций, в части освещения порядка проведения государственной итоговой аттестации по образовательным программам основного общего и среднего общего образования.</w:t>
      </w:r>
    </w:p>
    <w:p w14:paraId="29000000">
      <w:pPr>
        <w:tabs>
          <w:tab w:leader="none" w:pos="1418" w:val="left"/>
        </w:tabs>
        <w:ind w:firstLine="708" w:left="0"/>
        <w:jc w:val="both"/>
        <w:rPr>
          <w:sz w:val="28"/>
        </w:rPr>
      </w:pPr>
      <w:r>
        <w:rPr>
          <w:sz w:val="28"/>
        </w:rPr>
        <w:t xml:space="preserve">6. </w:t>
      </w:r>
      <w:r>
        <w:rPr>
          <w:sz w:val="28"/>
        </w:rPr>
        <w:t xml:space="preserve">Руководителям государственных </w:t>
      </w:r>
      <w:r>
        <w:rPr>
          <w:sz w:val="28"/>
        </w:rPr>
        <w:t>обще</w:t>
      </w:r>
      <w:r>
        <w:rPr>
          <w:sz w:val="28"/>
        </w:rPr>
        <w:t>образовательных организаций, нах</w:t>
      </w:r>
      <w:r>
        <w:rPr>
          <w:sz w:val="28"/>
        </w:rPr>
        <w:t>одящихся в ведении Министерства</w:t>
      </w:r>
      <w:r>
        <w:rPr>
          <w:sz w:val="28"/>
        </w:rPr>
        <w:t xml:space="preserve"> образования и науки Республики Татарстан:</w:t>
      </w:r>
    </w:p>
    <w:p w14:paraId="2A000000">
      <w:pPr>
        <w:ind w:firstLine="708" w:left="0"/>
        <w:jc w:val="both"/>
        <w:rPr>
          <w:sz w:val="28"/>
        </w:rPr>
      </w:pPr>
      <w:r>
        <w:rPr>
          <w:sz w:val="28"/>
        </w:rPr>
        <w:t>д</w:t>
      </w:r>
      <w:r>
        <w:rPr>
          <w:sz w:val="28"/>
        </w:rPr>
        <w:t>овести до сведения участников образовательного процесса, в том числе обучающихся, родителей (законных представителей), общественности информацию об органи</w:t>
      </w:r>
      <w:r>
        <w:rPr>
          <w:sz w:val="28"/>
        </w:rPr>
        <w:t>зации работы «горячей линии» в Республике Татарстан</w:t>
      </w:r>
      <w:r>
        <w:rPr>
          <w:sz w:val="28"/>
        </w:rPr>
        <w:t>;</w:t>
      </w:r>
    </w:p>
    <w:p w14:paraId="2B000000">
      <w:pPr>
        <w:ind w:firstLine="708" w:left="0"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>рганизовать работу по проведению встреч (родительских собраний) с участниками образовательного процесса по вопросам организации и проведения государственной итоговой аттестации по образовательным программам основного общего и среднего общего образов</w:t>
      </w:r>
      <w:r>
        <w:rPr>
          <w:sz w:val="28"/>
        </w:rPr>
        <w:t>ания в 202</w:t>
      </w:r>
      <w:r>
        <w:rPr>
          <w:sz w:val="28"/>
        </w:rPr>
        <w:t>2</w:t>
      </w:r>
      <w:r>
        <w:rPr>
          <w:sz w:val="28"/>
        </w:rPr>
        <w:t>/</w:t>
      </w:r>
      <w:r>
        <w:rPr>
          <w:sz w:val="28"/>
        </w:rPr>
        <w:t>202</w:t>
      </w:r>
      <w:r>
        <w:rPr>
          <w:sz w:val="28"/>
        </w:rPr>
        <w:t>3</w:t>
      </w:r>
      <w:r>
        <w:rPr>
          <w:sz w:val="28"/>
        </w:rPr>
        <w:t xml:space="preserve"> учебном году</w:t>
      </w:r>
      <w:r>
        <w:rPr>
          <w:sz w:val="28"/>
        </w:rPr>
        <w:t>;</w:t>
      </w:r>
    </w:p>
    <w:p w14:paraId="2C000000">
      <w:pPr>
        <w:ind w:firstLine="708" w:left="0"/>
        <w:jc w:val="both"/>
        <w:rPr>
          <w:sz w:val="28"/>
        </w:rPr>
      </w:pPr>
      <w:r>
        <w:rPr>
          <w:sz w:val="28"/>
        </w:rPr>
        <w:t>р</w:t>
      </w:r>
      <w:r>
        <w:rPr>
          <w:sz w:val="28"/>
        </w:rPr>
        <w:t>азработать план мероприятий по информированию участников образовательного процесса, выпускников прошлых лет, общественности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образования, в том числе через средства массовой информа</w:t>
      </w:r>
      <w:r>
        <w:rPr>
          <w:sz w:val="28"/>
        </w:rPr>
        <w:t>ции</w:t>
      </w:r>
      <w:r>
        <w:rPr>
          <w:sz w:val="28"/>
        </w:rPr>
        <w:t xml:space="preserve"> в 202</w:t>
      </w:r>
      <w:r>
        <w:rPr>
          <w:sz w:val="28"/>
        </w:rPr>
        <w:t>2</w:t>
      </w:r>
      <w:r>
        <w:rPr>
          <w:sz w:val="28"/>
        </w:rPr>
        <w:t>/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>3</w:t>
      </w:r>
      <w:r>
        <w:rPr>
          <w:sz w:val="28"/>
        </w:rPr>
        <w:t xml:space="preserve"> учебному году</w:t>
      </w:r>
      <w:r>
        <w:rPr>
          <w:sz w:val="28"/>
        </w:rPr>
        <w:t>;</w:t>
      </w:r>
    </w:p>
    <w:p w14:paraId="2D000000">
      <w:pPr>
        <w:ind w:firstLine="708" w:left="0"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>рганизовать работу по ведению разделов на официальных</w:t>
      </w:r>
      <w:r>
        <w:rPr>
          <w:sz w:val="28"/>
        </w:rPr>
        <w:t xml:space="preserve"> сайтах образовательных организаций, предусматривающих освещение порядка проведения государственной итоговой аттестации по образовательным программам основного общего и среднего общего образования.</w:t>
      </w:r>
    </w:p>
    <w:p w14:paraId="2E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7. </w:t>
      </w:r>
      <w:r>
        <w:rPr>
          <w:sz w:val="28"/>
        </w:rPr>
        <w:t xml:space="preserve"> </w:t>
      </w:r>
      <w:r>
        <w:rPr>
          <w:sz w:val="28"/>
        </w:rPr>
        <w:t xml:space="preserve">Контроль за исполнением настоящего приказа возложить на заместителя министра </w:t>
      </w:r>
      <w:r>
        <w:rPr>
          <w:sz w:val="28"/>
        </w:rPr>
        <w:t>М.З.Закирову</w:t>
      </w:r>
      <w:r>
        <w:rPr>
          <w:sz w:val="28"/>
        </w:rPr>
        <w:t>.</w:t>
      </w:r>
    </w:p>
    <w:p w14:paraId="2F000000">
      <w:pPr>
        <w:ind w:firstLine="708" w:left="0"/>
        <w:jc w:val="both"/>
        <w:rPr>
          <w:sz w:val="28"/>
        </w:rPr>
      </w:pPr>
    </w:p>
    <w:p w14:paraId="30000000">
      <w:pPr>
        <w:ind w:firstLine="708" w:left="0"/>
        <w:jc w:val="both"/>
        <w:rPr>
          <w:sz w:val="28"/>
        </w:rPr>
      </w:pPr>
    </w:p>
    <w:p w14:paraId="31000000">
      <w:pPr>
        <w:ind/>
        <w:jc w:val="both"/>
        <w:rPr>
          <w:sz w:val="28"/>
        </w:rPr>
      </w:pPr>
      <w:r>
        <w:rPr>
          <w:sz w:val="28"/>
        </w:rPr>
        <w:t>М</w:t>
      </w:r>
      <w:r>
        <w:rPr>
          <w:sz w:val="28"/>
        </w:rPr>
        <w:t xml:space="preserve">инистр                  </w:t>
      </w:r>
      <w:r>
        <w:rPr>
          <w:sz w:val="28"/>
        </w:rPr>
        <w:t xml:space="preserve">                               </w:t>
      </w:r>
      <w:r>
        <w:rPr>
          <w:sz w:val="28"/>
        </w:rPr>
        <w:t xml:space="preserve">    </w:t>
      </w:r>
      <w:r>
        <w:rPr>
          <w:sz w:val="28"/>
        </w:rPr>
        <w:t xml:space="preserve">                </w:t>
      </w:r>
      <w:r>
        <w:rPr>
          <w:sz w:val="28"/>
        </w:rPr>
        <w:t xml:space="preserve">     </w:t>
      </w:r>
      <w:r>
        <w:rPr>
          <w:sz w:val="28"/>
        </w:rPr>
        <w:t xml:space="preserve">        </w:t>
      </w:r>
      <w:r>
        <w:rPr>
          <w:sz w:val="28"/>
        </w:rPr>
        <w:t xml:space="preserve"> </w:t>
      </w:r>
      <w:r>
        <w:rPr>
          <w:sz w:val="28"/>
        </w:rPr>
        <w:t xml:space="preserve">   </w:t>
      </w:r>
      <w:r>
        <w:rPr>
          <w:sz w:val="28"/>
        </w:rPr>
        <w:t xml:space="preserve">      </w:t>
      </w:r>
      <w:r>
        <w:rPr>
          <w:sz w:val="28"/>
        </w:rPr>
        <w:t xml:space="preserve">         </w:t>
      </w:r>
      <w:r>
        <w:rPr>
          <w:sz w:val="28"/>
        </w:rPr>
        <w:t>И.Г.Хадиуллин</w:t>
      </w:r>
    </w:p>
    <w:p w14:paraId="32000000">
      <w:pPr>
        <w:ind/>
        <w:jc w:val="both"/>
        <w:rPr>
          <w:sz w:val="28"/>
        </w:rPr>
      </w:pPr>
    </w:p>
    <w:sectPr>
      <w:pgSz w:h="16838" w:w="11906"/>
      <w:pgMar w:bottom="1134" w:footer="709" w:gutter="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st1"/>
    <w:link w:val="Style_7_ch"/>
  </w:style>
  <w:style w:styleId="Style_7_ch" w:type="character">
    <w:name w:val="st1"/>
    <w:link w:val="Style_7"/>
  </w:style>
  <w:style w:styleId="Style_8" w:type="paragraph">
    <w:name w:val="heading 3"/>
    <w:link w:val="Style_8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8_ch" w:type="character">
    <w:name w:val="heading 3"/>
    <w:link w:val="Style_8"/>
    <w:rPr>
      <w:rFonts w:ascii="XO Thames" w:hAnsi="XO Thames"/>
      <w:b w:val="1"/>
      <w:i w:val="1"/>
      <w:color w:val="000000"/>
    </w:rPr>
  </w:style>
  <w:style w:styleId="Style_9" w:type="paragraph">
    <w:name w:val="toc 3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Основной текст2"/>
    <w:basedOn w:val="Style_2"/>
    <w:link w:val="Style_10_ch"/>
    <w:pPr>
      <w:spacing w:after="420" w:line="0" w:lineRule="atLeast"/>
      <w:ind/>
    </w:pPr>
    <w:rPr>
      <w:sz w:val="26"/>
    </w:rPr>
  </w:style>
  <w:style w:styleId="Style_10_ch" w:type="character">
    <w:name w:val="Основной текст2"/>
    <w:basedOn w:val="Style_2_ch"/>
    <w:link w:val="Style_10"/>
    <w:rPr>
      <w:sz w:val="26"/>
    </w:rPr>
  </w:style>
  <w:style w:styleId="Style_11" w:type="paragraph">
    <w:name w:val="header"/>
    <w:basedOn w:val="Style_2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header"/>
    <w:basedOn w:val="Style_2_ch"/>
    <w:link w:val="Style_11"/>
  </w:style>
  <w:style w:styleId="Style_12" w:type="paragraph">
    <w:name w:val="Body Text 2"/>
    <w:basedOn w:val="Style_2"/>
    <w:link w:val="Style_12_ch"/>
    <w:pPr>
      <w:spacing w:after="120" w:line="480" w:lineRule="auto"/>
      <w:ind/>
    </w:pPr>
  </w:style>
  <w:style w:styleId="Style_12_ch" w:type="character">
    <w:name w:val="Body Text 2"/>
    <w:basedOn w:val="Style_2_ch"/>
    <w:link w:val="Style_12"/>
  </w:style>
  <w:style w:styleId="Style_13" w:type="paragraph">
    <w:name w:val="heading 5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14" w:type="paragraph">
    <w:name w:val="heading 1"/>
    <w:basedOn w:val="Style_2"/>
    <w:next w:val="Style_2"/>
    <w:link w:val="Style_14_ch"/>
    <w:uiPriority w:val="9"/>
    <w:qFormat/>
    <w:pPr>
      <w:keepNext w:val="1"/>
      <w:ind/>
      <w:jc w:val="right"/>
      <w:outlineLvl w:val="0"/>
    </w:pPr>
    <w:rPr>
      <w:b w:val="1"/>
      <w:sz w:val="28"/>
    </w:rPr>
  </w:style>
  <w:style w:styleId="Style_14_ch" w:type="character">
    <w:name w:val="heading 1"/>
    <w:basedOn w:val="Style_2_ch"/>
    <w:link w:val="Style_14"/>
    <w:rPr>
      <w:b w:val="1"/>
      <w:sz w:val="28"/>
    </w:rPr>
  </w:style>
  <w:style w:styleId="Style_15" w:type="paragraph">
    <w:name w:val="Placeholder Text"/>
    <w:link w:val="Style_15_ch"/>
    <w:rPr>
      <w:color w:val="808080"/>
    </w:rPr>
  </w:style>
  <w:style w:styleId="Style_15_ch" w:type="character">
    <w:name w:val="Placeholder Text"/>
    <w:link w:val="Style_15"/>
    <w:rPr>
      <w:color w:val="808080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/>
      <w:jc w:val="left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link w:val="Style_18_ch"/>
    <w:uiPriority w:val="39"/>
    <w:pPr>
      <w:ind w:firstLine="0" w:left="0"/>
    </w:pPr>
    <w:rPr>
      <w:rFonts w:ascii="XO Thames" w:hAnsi="XO Thames"/>
      <w:b w:val="1"/>
    </w:rPr>
  </w:style>
  <w:style w:styleId="Style_18_ch" w:type="character">
    <w:name w:val="toc 1"/>
    <w:link w:val="Style_18"/>
    <w:rPr>
      <w:rFonts w:ascii="XO Thames" w:hAnsi="XO Thames"/>
      <w:b w:val="1"/>
    </w:rPr>
  </w:style>
  <w:style w:styleId="Style_19" w:type="paragraph">
    <w:name w:val="Header and Footer"/>
    <w:link w:val="Style_19_ch"/>
    <w:pPr>
      <w:spacing w:line="360" w:lineRule="auto"/>
      <w:ind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toc 9"/>
    <w:link w:val="Style_21_ch"/>
    <w:uiPriority w:val="39"/>
    <w:pPr>
      <w:ind w:firstLine="0" w:left="1600"/>
    </w:pPr>
  </w:style>
  <w:style w:styleId="Style_21_ch" w:type="character">
    <w:name w:val="toc 9"/>
    <w:link w:val="Style_21"/>
  </w:style>
  <w:style w:styleId="Style_22" w:type="paragraph">
    <w:name w:val="Body Text Indent 2"/>
    <w:basedOn w:val="Style_2"/>
    <w:link w:val="Style_22_ch"/>
    <w:pPr>
      <w:spacing w:after="120" w:line="480" w:lineRule="auto"/>
      <w:ind w:firstLine="0" w:left="283"/>
    </w:pPr>
  </w:style>
  <w:style w:styleId="Style_22_ch" w:type="character">
    <w:name w:val="Body Text Indent 2"/>
    <w:basedOn w:val="Style_2_ch"/>
    <w:link w:val="Style_22"/>
  </w:style>
  <w:style w:styleId="Style_23" w:type="paragraph">
    <w:name w:val="Balloon Text"/>
    <w:basedOn w:val="Style_2"/>
    <w:link w:val="Style_23_ch"/>
    <w:rPr>
      <w:rFonts w:ascii="Tahoma" w:hAnsi="Tahoma"/>
      <w:sz w:val="16"/>
    </w:rPr>
  </w:style>
  <w:style w:styleId="Style_23_ch" w:type="character">
    <w:name w:val="Balloon Text"/>
    <w:basedOn w:val="Style_2_ch"/>
    <w:link w:val="Style_23"/>
    <w:rPr>
      <w:rFonts w:ascii="Tahoma" w:hAnsi="Tahoma"/>
      <w:sz w:val="16"/>
    </w:rPr>
  </w:style>
  <w:style w:styleId="Style_24" w:type="paragraph">
    <w:name w:val="toc 8"/>
    <w:link w:val="Style_24_ch"/>
    <w:uiPriority w:val="39"/>
    <w:pPr>
      <w:ind w:firstLine="0" w:left="1400"/>
    </w:pPr>
  </w:style>
  <w:style w:styleId="Style_24_ch" w:type="character">
    <w:name w:val="toc 8"/>
    <w:link w:val="Style_24"/>
  </w:style>
  <w:style w:styleId="Style_25" w:type="paragraph">
    <w:name w:val="Body text (2)"/>
    <w:basedOn w:val="Style_2"/>
    <w:link w:val="Style_25_ch"/>
    <w:pPr>
      <w:widowControl w:val="0"/>
      <w:spacing w:after="240" w:before="360" w:line="326" w:lineRule="exact"/>
      <w:ind/>
      <w:jc w:val="center"/>
    </w:pPr>
    <w:rPr>
      <w:sz w:val="28"/>
    </w:rPr>
  </w:style>
  <w:style w:styleId="Style_25_ch" w:type="character">
    <w:name w:val="Body text (2)"/>
    <w:basedOn w:val="Style_2_ch"/>
    <w:link w:val="Style_25"/>
    <w:rPr>
      <w:sz w:val="28"/>
    </w:rPr>
  </w:style>
  <w:style w:styleId="Style_26" w:type="paragraph">
    <w:name w:val="No Spacing"/>
    <w:link w:val="Style_26_ch"/>
    <w:rPr>
      <w:sz w:val="28"/>
    </w:rPr>
  </w:style>
  <w:style w:styleId="Style_26_ch" w:type="character">
    <w:name w:val="No Spacing"/>
    <w:link w:val="Style_26"/>
    <w:rPr>
      <w:sz w:val="28"/>
    </w:rPr>
  </w:style>
  <w:style w:styleId="Style_27" w:type="paragraph">
    <w:name w:val="toc 5"/>
    <w:link w:val="Style_27_ch"/>
    <w:uiPriority w:val="39"/>
    <w:pPr>
      <w:ind w:firstLine="0" w:left="800"/>
    </w:pPr>
  </w:style>
  <w:style w:styleId="Style_27_ch" w:type="character">
    <w:name w:val="toc 5"/>
    <w:link w:val="Style_27"/>
  </w:style>
  <w:style w:styleId="Style_28" w:type="paragraph">
    <w:name w:val="List Paragraph"/>
    <w:basedOn w:val="Style_2"/>
    <w:link w:val="Style_28_ch"/>
    <w:pPr>
      <w:ind w:firstLine="0" w:left="720"/>
      <w:contextualSpacing w:val="1"/>
    </w:pPr>
  </w:style>
  <w:style w:styleId="Style_28_ch" w:type="character">
    <w:name w:val="List Paragraph"/>
    <w:basedOn w:val="Style_2_ch"/>
    <w:link w:val="Style_28"/>
  </w:style>
  <w:style w:styleId="Style_29" w:type="paragraph">
    <w:name w:val="Subtitle"/>
    <w:link w:val="Style_29_ch"/>
    <w:uiPriority w:val="11"/>
    <w:qFormat/>
    <w:rPr>
      <w:rFonts w:ascii="XO Thames" w:hAnsi="XO Thames"/>
      <w:i w:val="1"/>
      <w:color w:val="616161"/>
      <w:sz w:val="24"/>
    </w:rPr>
  </w:style>
  <w:style w:styleId="Style_29_ch" w:type="character">
    <w:name w:val="Subtitle"/>
    <w:link w:val="Style_29"/>
    <w:rPr>
      <w:rFonts w:ascii="XO Thames" w:hAnsi="XO Thames"/>
      <w:i w:val="1"/>
      <w:color w:val="616161"/>
      <w:sz w:val="24"/>
    </w:rPr>
  </w:style>
  <w:style w:styleId="Style_30" w:type="paragraph">
    <w:name w:val="toc 10"/>
    <w:link w:val="Style_30_ch"/>
    <w:uiPriority w:val="39"/>
    <w:pPr>
      <w:ind w:firstLine="0" w:left="1800"/>
    </w:pPr>
  </w:style>
  <w:style w:styleId="Style_30_ch" w:type="character">
    <w:name w:val="toc 10"/>
    <w:link w:val="Style_30"/>
  </w:style>
  <w:style w:styleId="Style_31" w:type="paragraph">
    <w:name w:val="Title"/>
    <w:basedOn w:val="Style_2"/>
    <w:link w:val="Style_31_ch"/>
    <w:uiPriority w:val="10"/>
    <w:qFormat/>
    <w:pPr>
      <w:ind/>
      <w:jc w:val="center"/>
    </w:pPr>
    <w:rPr>
      <w:b w:val="1"/>
      <w:sz w:val="27"/>
    </w:rPr>
  </w:style>
  <w:style w:styleId="Style_31_ch" w:type="character">
    <w:name w:val="Title"/>
    <w:basedOn w:val="Style_2_ch"/>
    <w:link w:val="Style_31"/>
    <w:rPr>
      <w:b w:val="1"/>
      <w:sz w:val="27"/>
    </w:rPr>
  </w:style>
  <w:style w:styleId="Style_32" w:type="paragraph">
    <w:name w:val="heading 4"/>
    <w:link w:val="Style_32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2_ch" w:type="character">
    <w:name w:val="heading 4"/>
    <w:link w:val="Style_32"/>
    <w:rPr>
      <w:rFonts w:ascii="XO Thames" w:hAnsi="XO Thames"/>
      <w:b w:val="1"/>
      <w:color w:val="595959"/>
      <w:sz w:val="26"/>
    </w:rPr>
  </w:style>
  <w:style w:styleId="Style_33" w:type="paragraph">
    <w:name w:val="footer"/>
    <w:basedOn w:val="Style_2"/>
    <w:link w:val="Style_33_ch"/>
    <w:pPr>
      <w:tabs>
        <w:tab w:leader="none" w:pos="4677" w:val="center"/>
        <w:tab w:leader="none" w:pos="9355" w:val="right"/>
      </w:tabs>
      <w:ind/>
    </w:pPr>
  </w:style>
  <w:style w:styleId="Style_33_ch" w:type="character">
    <w:name w:val="footer"/>
    <w:basedOn w:val="Style_2_ch"/>
    <w:link w:val="Style_33"/>
  </w:style>
  <w:style w:styleId="Style_34" w:type="paragraph">
    <w:name w:val="heading 2"/>
    <w:link w:val="Style_34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34_ch" w:type="character">
    <w:name w:val="heading 2"/>
    <w:link w:val="Style_34"/>
    <w:rPr>
      <w:rFonts w:ascii="XO Thames" w:hAnsi="XO Thames"/>
      <w:b w:val="1"/>
      <w:color w:val="00A0FF"/>
      <w:sz w:val="26"/>
    </w:rPr>
  </w:style>
  <w:style w:styleId="Style_35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1" Target="media/1.emf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